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74" w:rsidRPr="00FD5CA0" w:rsidRDefault="00FD5CA0" w:rsidP="00FD5CA0">
      <w:pPr>
        <w:shd w:val="clear" w:color="auto" w:fill="000000" w:themeFill="text1"/>
        <w:rPr>
          <w:rFonts w:ascii="Arial" w:hAnsi="Arial" w:cs="Arial"/>
        </w:rPr>
      </w:pPr>
      <w:r w:rsidRPr="00FD5CA0">
        <w:rPr>
          <w:rFonts w:ascii="Arial" w:hAnsi="Arial" w:cs="Arial"/>
        </w:rPr>
        <w:t xml:space="preserve">Stepping </w:t>
      </w:r>
      <w:r w:rsidR="00B80B10">
        <w:rPr>
          <w:rFonts w:ascii="Arial" w:hAnsi="Arial" w:cs="Arial"/>
        </w:rPr>
        <w:t xml:space="preserve">Stones Taught Units: Overview, Recommended Order </w:t>
      </w:r>
      <w:r w:rsidRPr="00FD5CA0">
        <w:rPr>
          <w:rFonts w:ascii="Arial" w:hAnsi="Arial" w:cs="Arial"/>
        </w:rPr>
        <w:t xml:space="preserve">and </w:t>
      </w:r>
      <w:r w:rsidR="00B80B10">
        <w:rPr>
          <w:rFonts w:ascii="Arial" w:hAnsi="Arial" w:cs="Arial"/>
        </w:rPr>
        <w:t xml:space="preserve">Possible </w:t>
      </w:r>
      <w:r w:rsidRPr="00FD5CA0">
        <w:rPr>
          <w:rFonts w:ascii="Arial" w:hAnsi="Arial" w:cs="Arial"/>
        </w:rPr>
        <w:t>Delivery Models</w:t>
      </w:r>
    </w:p>
    <w:p w:rsidR="00FD5CA0" w:rsidRDefault="00B80B10">
      <w:pPr>
        <w:rPr>
          <w:rFonts w:ascii="Arial" w:hAnsi="Arial" w:cs="Arial"/>
        </w:rPr>
      </w:pPr>
      <w:r>
        <w:rPr>
          <w:rFonts w:ascii="Arial" w:hAnsi="Arial" w:cs="Arial"/>
        </w:rPr>
        <w:t>Althou</w:t>
      </w:r>
      <w:r w:rsidR="00183246">
        <w:rPr>
          <w:rFonts w:ascii="Arial" w:hAnsi="Arial" w:cs="Arial"/>
        </w:rPr>
        <w:t>gh the taught programme of Stepping Stones was conceived as targeted behaviour support for a small number of students in each year group, as the resources and programme developed we have found that it can be used far more flexibly.  Please see below for a summary of the models that we have trialled and found to be effective.  The list is not exhaustive but gives an idea of the dif</w:t>
      </w:r>
      <w:r w:rsidR="004A42F1">
        <w:rPr>
          <w:rFonts w:ascii="Arial" w:hAnsi="Arial" w:cs="Arial"/>
        </w:rPr>
        <w:t>ferent ways that elements</w:t>
      </w:r>
      <w:r w:rsidR="00183246">
        <w:rPr>
          <w:rFonts w:ascii="Arial" w:hAnsi="Arial" w:cs="Arial"/>
        </w:rPr>
        <w:t xml:space="preserve"> of the taught programme can be used in schools.  </w:t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70"/>
        <w:gridCol w:w="5697"/>
        <w:gridCol w:w="1689"/>
        <w:gridCol w:w="1689"/>
        <w:gridCol w:w="1689"/>
        <w:gridCol w:w="1689"/>
        <w:gridCol w:w="1689"/>
      </w:tblGrid>
      <w:tr w:rsidR="00B80B10" w:rsidTr="004A42F1">
        <w:tc>
          <w:tcPr>
            <w:tcW w:w="870" w:type="dxa"/>
            <w:vAlign w:val="center"/>
          </w:tcPr>
          <w:p w:rsidR="00B80B10" w:rsidRPr="00657DB7" w:rsidRDefault="004A42F1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Model</w:t>
            </w:r>
          </w:p>
        </w:tc>
        <w:tc>
          <w:tcPr>
            <w:tcW w:w="5697" w:type="dxa"/>
            <w:vAlign w:val="center"/>
          </w:tcPr>
          <w:p w:rsidR="00B80B10" w:rsidRPr="00657DB7" w:rsidRDefault="004A42F1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Groups who might benefit 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Transition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Developing Self-Esteem and Resilience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What is success?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Working as a team</w:t>
            </w:r>
          </w:p>
        </w:tc>
      </w:tr>
      <w:tr w:rsidR="00B80B10" w:rsidTr="004A42F1">
        <w:tc>
          <w:tcPr>
            <w:tcW w:w="870" w:type="dxa"/>
            <w:vMerge w:val="restart"/>
            <w:textDirection w:val="btLr"/>
            <w:vAlign w:val="center"/>
          </w:tcPr>
          <w:p w:rsidR="00B80B10" w:rsidRPr="00657DB7" w:rsidRDefault="00B80B10" w:rsidP="00B80B10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Small Group Work</w:t>
            </w: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Whole-year programme of targeted behaviour support for Year 7</w:t>
            </w:r>
          </w:p>
        </w:tc>
        <w:tc>
          <w:tcPr>
            <w:tcW w:w="1689" w:type="dxa"/>
            <w:vAlign w:val="center"/>
          </w:tcPr>
          <w:p w:rsidR="00657DB7" w:rsidRPr="00657DB7" w:rsidRDefault="00657DB7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Unit 1 </w:t>
            </w:r>
          </w:p>
          <w:p w:rsidR="00B80B10" w:rsidRPr="00657DB7" w:rsidRDefault="00657DB7" w:rsidP="00B80B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</w:rPr>
              <w:t>(ideal</w:t>
            </w:r>
            <w:r w:rsidRPr="00657DB7">
              <w:rPr>
                <w:rFonts w:ascii="Arial" w:hAnsi="Arial" w:cs="Arial"/>
                <w:sz w:val="18"/>
              </w:rPr>
              <w:t xml:space="preserve"> in September of Y7)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2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3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4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657DB7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5</w:t>
            </w:r>
          </w:p>
        </w:tc>
      </w:tr>
      <w:tr w:rsidR="00B80B10" w:rsidTr="00657DB7">
        <w:tc>
          <w:tcPr>
            <w:tcW w:w="870" w:type="dxa"/>
            <w:vMerge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Short intervention for students who present with challenging behaviour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As needed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B80B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80B10" w:rsidTr="00657DB7">
        <w:tc>
          <w:tcPr>
            <w:tcW w:w="870" w:type="dxa"/>
            <w:vMerge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Short intervention for students with low self-esteem and poor resilience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1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2</w:t>
            </w:r>
          </w:p>
        </w:tc>
      </w:tr>
      <w:tr w:rsidR="00B80B10" w:rsidTr="00657DB7">
        <w:tc>
          <w:tcPr>
            <w:tcW w:w="870" w:type="dxa"/>
            <w:vMerge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Short intervention for students who struggle to work with others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As needed</w:t>
            </w:r>
          </w:p>
        </w:tc>
      </w:tr>
      <w:tr w:rsidR="00B80B10" w:rsidTr="00657DB7">
        <w:tc>
          <w:tcPr>
            <w:tcW w:w="870" w:type="dxa"/>
            <w:vMerge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Intervention for students struggling with transition</w:t>
            </w:r>
            <w:r w:rsidR="004A42F1" w:rsidRPr="00657DB7">
              <w:rPr>
                <w:rFonts w:ascii="Arial" w:hAnsi="Arial" w:cs="Arial"/>
                <w:sz w:val="22"/>
              </w:rPr>
              <w:t xml:space="preserve"> (but not behaviour e.g. unhappy) </w:t>
            </w:r>
            <w:r w:rsidRPr="00657DB7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1</w:t>
            </w:r>
          </w:p>
          <w:p w:rsidR="00657DB7" w:rsidRPr="00657DB7" w:rsidRDefault="00657DB7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2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Unit 3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80B10" w:rsidTr="00657DB7">
        <w:tc>
          <w:tcPr>
            <w:tcW w:w="870" w:type="dxa"/>
            <w:vMerge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Short intervention for students struggling to </w:t>
            </w:r>
            <w:r w:rsidR="004A42F1" w:rsidRPr="00657DB7">
              <w:rPr>
                <w:rFonts w:ascii="Arial" w:hAnsi="Arial" w:cs="Arial"/>
                <w:sz w:val="22"/>
              </w:rPr>
              <w:t>engage</w:t>
            </w:r>
            <w:r w:rsidRPr="00657DB7">
              <w:rPr>
                <w:rFonts w:ascii="Arial" w:hAnsi="Arial" w:cs="Arial"/>
                <w:sz w:val="22"/>
              </w:rPr>
              <w:t xml:space="preserve"> in school e.g. poor attendance</w:t>
            </w:r>
            <w:r w:rsidR="004A42F1" w:rsidRPr="00657DB7">
              <w:rPr>
                <w:rFonts w:ascii="Arial" w:hAnsi="Arial" w:cs="Arial"/>
                <w:sz w:val="22"/>
              </w:rPr>
              <w:t xml:space="preserve"> / apathy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A4042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As needed 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A4042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80B10" w:rsidTr="00657DB7">
        <w:trPr>
          <w:cantSplit/>
          <w:trHeight w:val="1134"/>
        </w:trPr>
        <w:tc>
          <w:tcPr>
            <w:tcW w:w="870" w:type="dxa"/>
            <w:textDirection w:val="btLr"/>
            <w:vAlign w:val="center"/>
          </w:tcPr>
          <w:p w:rsidR="00B80B10" w:rsidRPr="00657DB7" w:rsidRDefault="00B80B10" w:rsidP="00B80B10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All students </w:t>
            </w:r>
          </w:p>
        </w:tc>
        <w:tc>
          <w:tcPr>
            <w:tcW w:w="5697" w:type="dxa"/>
            <w:vAlign w:val="center"/>
          </w:tcPr>
          <w:p w:rsidR="00B80B10" w:rsidRPr="00657DB7" w:rsidRDefault="004A42F1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A whole year group as part of a sustained transition programme or as part of PSHE </w:t>
            </w:r>
          </w:p>
        </w:tc>
        <w:tc>
          <w:tcPr>
            <w:tcW w:w="1689" w:type="dxa"/>
            <w:vAlign w:val="center"/>
          </w:tcPr>
          <w:p w:rsidR="00657DB7" w:rsidRDefault="00657DB7" w:rsidP="00657DB7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Unit 1 </w:t>
            </w:r>
          </w:p>
          <w:p w:rsidR="00B80B10" w:rsidRPr="00657DB7" w:rsidRDefault="00657DB7" w:rsidP="00657D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</w:rPr>
              <w:t>(ideal</w:t>
            </w:r>
            <w:r w:rsidRPr="00657DB7">
              <w:rPr>
                <w:rFonts w:ascii="Arial" w:hAnsi="Arial" w:cs="Arial"/>
                <w:sz w:val="18"/>
              </w:rPr>
              <w:t xml:space="preserve"> in September of Y7)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As needed</w:t>
            </w:r>
          </w:p>
        </w:tc>
        <w:tc>
          <w:tcPr>
            <w:tcW w:w="1689" w:type="dxa"/>
            <w:vAlign w:val="center"/>
          </w:tcPr>
          <w:p w:rsidR="00B80B10" w:rsidRPr="00657DB7" w:rsidRDefault="00657DB7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 xml:space="preserve">As needed 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FD5CA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With modification</w:t>
            </w:r>
          </w:p>
        </w:tc>
      </w:tr>
      <w:tr w:rsidR="00B80B10" w:rsidTr="00657DB7">
        <w:trPr>
          <w:cantSplit/>
          <w:trHeight w:val="1068"/>
        </w:trPr>
        <w:tc>
          <w:tcPr>
            <w:tcW w:w="870" w:type="dxa"/>
            <w:textDirection w:val="btLr"/>
            <w:vAlign w:val="center"/>
          </w:tcPr>
          <w:p w:rsidR="00B80B10" w:rsidRPr="00657DB7" w:rsidRDefault="00B80B10" w:rsidP="00B80B10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One-to-One</w:t>
            </w:r>
          </w:p>
        </w:tc>
        <w:tc>
          <w:tcPr>
            <w:tcW w:w="5697" w:type="dxa"/>
            <w:vAlign w:val="center"/>
          </w:tcPr>
          <w:p w:rsidR="00B80B10" w:rsidRPr="00657DB7" w:rsidRDefault="00B80B10" w:rsidP="004A42F1">
            <w:pPr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Individual / Small Group Mentoring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With modification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With modification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With modification</w:t>
            </w:r>
          </w:p>
        </w:tc>
        <w:tc>
          <w:tcPr>
            <w:tcW w:w="1689" w:type="dxa"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  <w:r w:rsidRPr="00657DB7">
              <w:rPr>
                <w:rFonts w:ascii="Arial" w:hAnsi="Arial" w:cs="Arial"/>
                <w:sz w:val="22"/>
              </w:rPr>
              <w:t>With modification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:rsidR="00B80B10" w:rsidRPr="00657DB7" w:rsidRDefault="00B80B10" w:rsidP="00B80B1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FD5CA0" w:rsidRPr="00FD5CA0" w:rsidRDefault="00FD5CA0" w:rsidP="00EC5DEB">
      <w:pPr>
        <w:pStyle w:val="Footer"/>
        <w:rPr>
          <w:rFonts w:ascii="Arial" w:hAnsi="Arial" w:cs="Arial"/>
        </w:rPr>
      </w:pPr>
      <w:bookmarkStart w:id="0" w:name="_GoBack"/>
      <w:bookmarkEnd w:id="0"/>
    </w:p>
    <w:sectPr w:rsidR="00FD5CA0" w:rsidRPr="00FD5CA0" w:rsidSect="00FD5CA0">
      <w:footerReference w:type="default" r:id="rId9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EB" w:rsidRDefault="00EC5DEB" w:rsidP="00EC5DEB">
      <w:pPr>
        <w:spacing w:after="0" w:line="240" w:lineRule="auto"/>
      </w:pPr>
      <w:r>
        <w:separator/>
      </w:r>
    </w:p>
  </w:endnote>
  <w:endnote w:type="continuationSeparator" w:id="0">
    <w:p w:rsidR="00EC5DEB" w:rsidRDefault="00EC5DEB" w:rsidP="00EC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EB" w:rsidRDefault="00EC5DEB" w:rsidP="00EC5DEB">
    <w:pPr>
      <w:pStyle w:val="Footer"/>
      <w:rPr>
        <w:sz w:val="28"/>
      </w:rPr>
    </w:pP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EB" w:rsidRDefault="00EC5DEB" w:rsidP="00EC5DEB">
      <w:pPr>
        <w:spacing w:after="0" w:line="240" w:lineRule="auto"/>
      </w:pPr>
      <w:r>
        <w:separator/>
      </w:r>
    </w:p>
  </w:footnote>
  <w:footnote w:type="continuationSeparator" w:id="0">
    <w:p w:rsidR="00EC5DEB" w:rsidRDefault="00EC5DEB" w:rsidP="00EC5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07919"/>
    <w:multiLevelType w:val="hybridMultilevel"/>
    <w:tmpl w:val="6BB0C1DA"/>
    <w:lvl w:ilvl="0" w:tplc="0770B2D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A0"/>
    <w:rsid w:val="00183246"/>
    <w:rsid w:val="00370853"/>
    <w:rsid w:val="00441781"/>
    <w:rsid w:val="004A42F1"/>
    <w:rsid w:val="00657DB7"/>
    <w:rsid w:val="007061E6"/>
    <w:rsid w:val="00782A45"/>
    <w:rsid w:val="009C1174"/>
    <w:rsid w:val="00B80B10"/>
    <w:rsid w:val="00EA3162"/>
    <w:rsid w:val="00EC5DEB"/>
    <w:rsid w:val="00F4624C"/>
    <w:rsid w:val="00F62F12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0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DB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46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24C"/>
  </w:style>
  <w:style w:type="paragraph" w:styleId="Header">
    <w:name w:val="header"/>
    <w:basedOn w:val="Normal"/>
    <w:link w:val="HeaderChar"/>
    <w:uiPriority w:val="99"/>
    <w:unhideWhenUsed/>
    <w:rsid w:val="00EC5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0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DB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46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24C"/>
  </w:style>
  <w:style w:type="paragraph" w:styleId="Header">
    <w:name w:val="header"/>
    <w:basedOn w:val="Normal"/>
    <w:link w:val="HeaderChar"/>
    <w:uiPriority w:val="99"/>
    <w:unhideWhenUsed/>
    <w:rsid w:val="00EC5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95334-1094-428A-854A-C0780121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89E93B3C</Template>
  <TotalTime>4222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6</cp:revision>
  <cp:lastPrinted>2018-01-12T16:57:00Z</cp:lastPrinted>
  <dcterms:created xsi:type="dcterms:W3CDTF">2018-01-12T16:03:00Z</dcterms:created>
  <dcterms:modified xsi:type="dcterms:W3CDTF">2018-01-25T11:40:00Z</dcterms:modified>
</cp:coreProperties>
</file>